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B8AFEB" w14:textId="23073AE4" w:rsidR="003767C1" w:rsidRPr="003767C1" w:rsidRDefault="003767C1" w:rsidP="003767C1">
      <w:pPr>
        <w:pStyle w:val="Heading1"/>
        <w:rPr>
          <w:b w:val="0"/>
          <w:bCs/>
        </w:rPr>
      </w:pPr>
      <w:r w:rsidRPr="003767C1">
        <w:rPr>
          <w:b w:val="0"/>
          <w:bCs/>
        </w:rPr>
        <w:t>Fall 202</w:t>
      </w:r>
      <w:r>
        <w:rPr>
          <w:b w:val="0"/>
          <w:bCs/>
        </w:rPr>
        <w:t>0</w:t>
      </w:r>
      <w:r w:rsidRPr="003767C1">
        <w:rPr>
          <w:b w:val="0"/>
          <w:bCs/>
        </w:rPr>
        <w:t xml:space="preserve"> Quiz: Memo </w:t>
      </w:r>
    </w:p>
    <w:p w14:paraId="0641B1B3" w14:textId="77777777" w:rsidR="003767C1" w:rsidRDefault="003767C1" w:rsidP="003767C1">
      <w:pPr>
        <w:spacing w:line="259" w:lineRule="auto"/>
        <w:ind w:left="-28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14AE603" wp14:editId="5166CD97">
                <wp:extent cx="5980176" cy="9144"/>
                <wp:effectExtent l="0" t="0" r="0" b="0"/>
                <wp:docPr id="5452" name="Group 5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9144"/>
                          <a:chOff x="0" y="0"/>
                          <a:chExt cx="5980176" cy="9144"/>
                        </a:xfrm>
                      </wpg:grpSpPr>
                      <wps:wsp>
                        <wps:cNvPr id="6410" name="Shape 6410"/>
                        <wps:cNvSpPr/>
                        <wps:spPr>
                          <a:xfrm>
                            <a:off x="0" y="0"/>
                            <a:ext cx="5980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9144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B0FF0" id="Group 5452" o:spid="_x0000_s1026" style="width:470.9pt;height:.7pt;mso-position-horizontal-relative:char;mso-position-vertical-relative:line" coordsize="59801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">
                <v:shape id="Shape 6410" o:spid="_x0000_s1027" style="position:absolute;width:59801;height:91;visibility:visible;mso-wrap-style:square;v-text-anchor:top" coordsize="598017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" path="m,l5980176,r,9144l,9144,,e" fillcolor="black" stroked="f" strokeweight="0">
                  <v:stroke miterlimit="83231f" joinstyle="miter"/>
                  <v:path arrowok="t" textboxrect="0,0,5980176,9144"/>
                </v:shape>
                <w10:anchorlock/>
              </v:group>
            </w:pict>
          </mc:Fallback>
        </mc:AlternateContent>
      </w:r>
    </w:p>
    <w:p w14:paraId="6479C7BD" w14:textId="77777777" w:rsidR="003767C1" w:rsidRDefault="003767C1">
      <w:pPr>
        <w:spacing w:line="356" w:lineRule="auto"/>
        <w:ind w:left="0" w:firstLine="536"/>
        <w:rPr>
          <w:rFonts w:cs="Garamond"/>
          <w:b/>
        </w:rPr>
      </w:pPr>
    </w:p>
    <w:p w14:paraId="4E97E50B" w14:textId="12410C19" w:rsidR="0019604A" w:rsidRDefault="00000000">
      <w:pPr>
        <w:spacing w:line="356" w:lineRule="auto"/>
        <w:ind w:left="0" w:firstLine="536"/>
      </w:pPr>
      <w:r>
        <w:t xml:space="preserve">Triple E Housing Co. (Triple E) wants to remove Andrea Jenkins from the unit in which she lives. </w:t>
      </w:r>
      <w:r w:rsidRPr="003767C1">
        <w:rPr>
          <w:rFonts w:cs="Garamond"/>
          <w:b/>
          <w:color w:val="0061FF"/>
        </w:rPr>
        <w:t>[#1]</w:t>
      </w:r>
      <w:r w:rsidRPr="003767C1">
        <w:rPr>
          <w:color w:val="0061FF"/>
        </w:rPr>
        <w:t xml:space="preserve"> </w:t>
      </w:r>
      <w:r>
        <w:t xml:space="preserve">Because Triple E owns the unit and has a formal agreement with </w:t>
      </w:r>
      <w:r>
        <w:rPr>
          <w:rFonts w:cs="Garamond"/>
        </w:rPr>
        <w:t xml:space="preserve">her, Triple E considers itself to be a landlord and Ms. Jenkins to be Triple E’s tenant. </w:t>
      </w:r>
    </w:p>
    <w:p w14:paraId="343ABB40" w14:textId="77777777" w:rsidR="0019604A" w:rsidRPr="003767C1" w:rsidRDefault="00000000">
      <w:pPr>
        <w:spacing w:after="192" w:line="250" w:lineRule="auto"/>
        <w:ind w:left="-5" w:right="313"/>
        <w:rPr>
          <w:color w:val="0061FF"/>
        </w:rPr>
      </w:pPr>
      <w:r w:rsidRPr="003767C1">
        <w:rPr>
          <w:rFonts w:cs="Garamond"/>
          <w:b/>
          <w:color w:val="0061FF"/>
        </w:rPr>
        <w:t>[#2]</w:t>
      </w:r>
      <w:r w:rsidRPr="003767C1">
        <w:rPr>
          <w:color w:val="0061FF"/>
        </w:rPr>
        <w:t xml:space="preserve"> </w:t>
      </w:r>
    </w:p>
    <w:p w14:paraId="4C2E6170" w14:textId="77777777" w:rsidR="0019604A" w:rsidRDefault="00000000">
      <w:pPr>
        <w:spacing w:after="62" w:line="356" w:lineRule="auto"/>
        <w:ind w:left="0" w:right="498" w:firstLine="536"/>
      </w:pPr>
      <w:r>
        <w:t xml:space="preserve">In North Carolina, a landlord can remove a residential tenant from her dwelling place only according to a statutorily prescribed procedure. </w:t>
      </w:r>
      <w:r w:rsidRPr="003767C1">
        <w:rPr>
          <w:rFonts w:cs="Garamond"/>
          <w:b/>
          <w:color w:val="0061FF"/>
        </w:rPr>
        <w:t>[#3]</w:t>
      </w:r>
      <w:r w:rsidRPr="003767C1">
        <w:rPr>
          <w:color w:val="0061FF"/>
        </w:rPr>
        <w:t xml:space="preserve"> </w:t>
      </w:r>
      <w:r>
        <w:t xml:space="preserve">A landlord can use this </w:t>
      </w:r>
      <w:r>
        <w:rPr>
          <w:rFonts w:cs="Garamond"/>
        </w:rPr>
        <w:t xml:space="preserve">procedure to remove a tenant who “holds over,” or stays in the property after her lease </w:t>
      </w:r>
      <w:r>
        <w:t xml:space="preserve">term has expired and the landlord has demanded that she leave. </w:t>
      </w:r>
      <w:r w:rsidRPr="003767C1">
        <w:rPr>
          <w:rFonts w:cs="Garamond"/>
          <w:b/>
          <w:color w:val="0061FF"/>
        </w:rPr>
        <w:t>[#4]</w:t>
      </w:r>
      <w:r w:rsidRPr="003767C1">
        <w:rPr>
          <w:color w:val="0061FF"/>
        </w:rPr>
        <w:t xml:space="preserve"> </w:t>
      </w:r>
      <w:r>
        <w:t xml:space="preserve">Such summary </w:t>
      </w:r>
      <w:r>
        <w:rPr>
          <w:rFonts w:cs="Garamond"/>
        </w:rPr>
        <w:t xml:space="preserve">ejectment actions by landlords are “purely statutory.” </w:t>
      </w:r>
      <w:r w:rsidRPr="003767C1">
        <w:rPr>
          <w:rFonts w:cs="Garamond"/>
          <w:b/>
          <w:color w:val="0061FF"/>
        </w:rPr>
        <w:t>[#5]</w:t>
      </w:r>
      <w:r w:rsidRPr="003767C1">
        <w:rPr>
          <w:color w:val="0061FF"/>
        </w:rPr>
        <w:t xml:space="preserve"> </w:t>
      </w:r>
      <w:r>
        <w:t xml:space="preserve">Therefore, the remedy of summary ejectment is limited to situations provided in the statute. </w:t>
      </w:r>
      <w:r w:rsidRPr="003767C1">
        <w:rPr>
          <w:rFonts w:cs="Garamond"/>
          <w:b/>
          <w:color w:val="0061FF"/>
        </w:rPr>
        <w:t>[#6]</w:t>
      </w:r>
      <w:r w:rsidRPr="003767C1">
        <w:rPr>
          <w:color w:val="0061FF"/>
        </w:rPr>
        <w:t xml:space="preserve">  </w:t>
      </w:r>
    </w:p>
    <w:p w14:paraId="2A5CE1B3" w14:textId="77777777" w:rsidR="0019604A" w:rsidRDefault="00000000">
      <w:pPr>
        <w:spacing w:after="134"/>
        <w:ind w:left="546" w:right="991"/>
      </w:pPr>
      <w:r>
        <w:t xml:space="preserve">Triple E is aware of the statute and believes it can pursue summary ejectment of </w:t>
      </w:r>
    </w:p>
    <w:p w14:paraId="484B6BF7" w14:textId="77777777" w:rsidR="0019604A" w:rsidRDefault="00000000">
      <w:pPr>
        <w:spacing w:after="63" w:line="356" w:lineRule="auto"/>
        <w:ind w:right="991"/>
      </w:pPr>
      <w:r>
        <w:t xml:space="preserve">Ms. Jenkins. </w:t>
      </w:r>
      <w:r w:rsidRPr="003767C1">
        <w:rPr>
          <w:rFonts w:cs="Garamond"/>
          <w:b/>
          <w:color w:val="0061FF"/>
        </w:rPr>
        <w:t>[#7]</w:t>
      </w:r>
      <w:r w:rsidRPr="003767C1">
        <w:rPr>
          <w:color w:val="0061FF"/>
        </w:rPr>
        <w:t xml:space="preserve"> </w:t>
      </w:r>
      <w:r>
        <w:t xml:space="preserve">Ms. Jenkins is indeed holding over in a unit that Triple E owns, and Triple E has demanded that she vacate the unit. </w:t>
      </w:r>
      <w:r w:rsidRPr="003767C1">
        <w:rPr>
          <w:rFonts w:cs="Garamond"/>
          <w:b/>
          <w:color w:val="0061FF"/>
        </w:rPr>
        <w:t>[#8]</w:t>
      </w:r>
      <w:r w:rsidRPr="003767C1">
        <w:rPr>
          <w:color w:val="0061FF"/>
        </w:rPr>
        <w:t xml:space="preserve"> </w:t>
      </w:r>
      <w:r>
        <w:t xml:space="preserve">The remaining question is whether Triple E is a landlord. </w:t>
      </w:r>
      <w:r w:rsidRPr="003767C1">
        <w:rPr>
          <w:rFonts w:cs="Garamond"/>
          <w:b/>
          <w:color w:val="0061FF"/>
        </w:rPr>
        <w:t xml:space="preserve">[#9] </w:t>
      </w:r>
      <w:r w:rsidRPr="003767C1">
        <w:rPr>
          <w:color w:val="0061FF"/>
        </w:rPr>
        <w:t xml:space="preserve"> </w:t>
      </w:r>
    </w:p>
    <w:p w14:paraId="1079B7B4" w14:textId="77777777" w:rsidR="0019604A" w:rsidRDefault="00000000">
      <w:pPr>
        <w:spacing w:after="56" w:line="357" w:lineRule="auto"/>
        <w:ind w:left="0" w:right="779" w:firstLine="536"/>
      </w:pPr>
      <w:r>
        <w:t xml:space="preserve">The answer is almost certainly yes. </w:t>
      </w:r>
      <w:r w:rsidRPr="003767C1">
        <w:rPr>
          <w:rFonts w:cs="Garamond"/>
          <w:b/>
          <w:color w:val="0061FF"/>
        </w:rPr>
        <w:t>[#10]</w:t>
      </w:r>
      <w:r w:rsidRPr="003767C1">
        <w:rPr>
          <w:color w:val="0061FF"/>
        </w:rPr>
        <w:t xml:space="preserve"> </w:t>
      </w:r>
      <w:r>
        <w:t xml:space="preserve">A court must dismiss a summary </w:t>
      </w:r>
      <w:r>
        <w:rPr>
          <w:rFonts w:cs="Garamond"/>
        </w:rPr>
        <w:t>ejectment action “[</w:t>
      </w:r>
      <w:proofErr w:type="spellStart"/>
      <w:r>
        <w:rPr>
          <w:rFonts w:cs="Garamond"/>
        </w:rPr>
        <w:t>i</w:t>
      </w:r>
      <w:proofErr w:type="spellEnd"/>
      <w:r>
        <w:rPr>
          <w:rFonts w:cs="Garamond"/>
        </w:rPr>
        <w:t xml:space="preserve">]f the record lacks evidence” that the parties to the action have a </w:t>
      </w:r>
      <w:r>
        <w:t xml:space="preserve">landlord-tenant relationship. </w:t>
      </w:r>
      <w:r w:rsidRPr="003767C1">
        <w:rPr>
          <w:rFonts w:cs="Garamond"/>
          <w:b/>
          <w:color w:val="0061FF"/>
        </w:rPr>
        <w:t>[#11]</w:t>
      </w:r>
      <w:r w:rsidRPr="003767C1">
        <w:rPr>
          <w:color w:val="0061FF"/>
        </w:rPr>
        <w:t xml:space="preserve"> </w:t>
      </w:r>
      <w:r>
        <w:rPr>
          <w:rFonts w:cs="Garamond"/>
        </w:rPr>
        <w:t xml:space="preserve">Such a relationship requires “some contract or lease, either actual or implied,” between the parties. </w:t>
      </w:r>
      <w:r w:rsidRPr="003767C1">
        <w:rPr>
          <w:rFonts w:cs="Garamond"/>
          <w:b/>
          <w:color w:val="0061FF"/>
        </w:rPr>
        <w:t>[#12]</w:t>
      </w:r>
      <w:r w:rsidRPr="003767C1">
        <w:rPr>
          <w:color w:val="0061FF"/>
        </w:rPr>
        <w:t xml:space="preserve"> </w:t>
      </w:r>
      <w:r>
        <w:t xml:space="preserve">For instance, when a resident had lived at a property for over a year but had never paid rent and had no contract with the property owner, there was no landlord-tenant relationship, and thus summary ejectment of the resident was inappropriate. </w:t>
      </w:r>
      <w:r w:rsidRPr="003767C1">
        <w:rPr>
          <w:rFonts w:cs="Garamond"/>
          <w:b/>
          <w:color w:val="0061FF"/>
        </w:rPr>
        <w:t>[#13]</w:t>
      </w:r>
      <w:r w:rsidRPr="003767C1">
        <w:rPr>
          <w:color w:val="0061FF"/>
        </w:rPr>
        <w:t xml:space="preserve"> </w:t>
      </w:r>
    </w:p>
    <w:p w14:paraId="6D44B8BA" w14:textId="7A1A25ED" w:rsidR="0019604A" w:rsidRDefault="00000000" w:rsidP="000E6B0B">
      <w:pPr>
        <w:spacing w:after="128" w:line="358" w:lineRule="auto"/>
        <w:ind w:left="0" w:right="991" w:firstLine="536"/>
      </w:pPr>
      <w:r>
        <w:t xml:space="preserve">But money does not have to change hands to establish a landlord-tenant relationship. </w:t>
      </w:r>
      <w:r w:rsidRPr="003767C1">
        <w:rPr>
          <w:rFonts w:cs="Garamond"/>
          <w:b/>
          <w:color w:val="0061FF"/>
        </w:rPr>
        <w:t>[#14]</w:t>
      </w:r>
      <w:r w:rsidRPr="003767C1">
        <w:rPr>
          <w:color w:val="0061FF"/>
        </w:rPr>
        <w:t xml:space="preserve"> </w:t>
      </w:r>
      <w:r>
        <w:t>Moreover, while North Carolina courts have not addressed the issue, in at least one other state, an Occupancy Agreement in a cooperative created a landlord-</w:t>
      </w:r>
      <w:r>
        <w:rPr>
          <w:rFonts w:cs="Garamond"/>
        </w:rPr>
        <w:t xml:space="preserve">tenant relationship for purposes of that jurisdiction’s comparable statute. </w:t>
      </w:r>
      <w:r w:rsidRPr="003767C1">
        <w:rPr>
          <w:rFonts w:cs="Garamond"/>
          <w:b/>
          <w:color w:val="0061FF"/>
        </w:rPr>
        <w:t>[#15]</w:t>
      </w:r>
      <w:r w:rsidRPr="003767C1">
        <w:rPr>
          <w:rFonts w:ascii="Times New Roman" w:eastAsia="Times New Roman" w:hAnsi="Times New Roman"/>
          <w:b/>
          <w:color w:val="0061FF"/>
          <w:sz w:val="36"/>
        </w:rPr>
        <w:t xml:space="preserve"> </w:t>
      </w:r>
      <w:r>
        <w:rPr>
          <w:rFonts w:ascii="Times New Roman" w:eastAsia="Times New Roman" w:hAnsi="Times New Roman"/>
          <w:b/>
          <w:sz w:val="36"/>
        </w:rPr>
        <w:tab/>
      </w:r>
      <w:r>
        <w:t xml:space="preserve"> </w:t>
      </w:r>
    </w:p>
    <w:sectPr w:rsidR="001960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2240" w:h="15840"/>
      <w:pgMar w:top="1579" w:right="486" w:bottom="1744" w:left="1441" w:header="776" w:footer="7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42A673" w14:textId="77777777" w:rsidR="006B726C" w:rsidRDefault="006B726C">
      <w:pPr>
        <w:spacing w:after="0" w:line="240" w:lineRule="auto"/>
      </w:pPr>
      <w:r>
        <w:separator/>
      </w:r>
    </w:p>
  </w:endnote>
  <w:endnote w:type="continuationSeparator" w:id="0">
    <w:p w14:paraId="24BB8BE9" w14:textId="77777777" w:rsidR="006B726C" w:rsidRDefault="006B7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F9FF44" w14:textId="77777777" w:rsidR="0019604A" w:rsidRDefault="00000000">
    <w:pPr>
      <w:tabs>
        <w:tab w:val="center" w:pos="4683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F4839" w14:textId="77777777" w:rsidR="0019604A" w:rsidRDefault="00000000">
    <w:pPr>
      <w:tabs>
        <w:tab w:val="center" w:pos="4683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616003" w14:textId="0F62963D" w:rsidR="0019604A" w:rsidRDefault="00000000">
    <w:pPr>
      <w:tabs>
        <w:tab w:val="center" w:pos="4683"/>
      </w:tabs>
      <w:spacing w:after="0" w:line="259" w:lineRule="auto"/>
      <w:ind w:left="0" w:right="0" w:firstLine="0"/>
    </w:pPr>
    <w:r>
      <w:t xml:space="preserve"> </w:t>
    </w:r>
    <w:r>
      <w:tab/>
    </w:r>
    <w:r w:rsidR="000E6B0B">
      <w:t>RRWA Fall 2020 Write-A-Cite Quiz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255B48" w14:textId="77777777" w:rsidR="006B726C" w:rsidRDefault="006B726C">
      <w:pPr>
        <w:spacing w:after="0" w:line="249" w:lineRule="auto"/>
        <w:ind w:left="0" w:right="146" w:firstLine="0"/>
      </w:pPr>
      <w:r>
        <w:separator/>
      </w:r>
    </w:p>
  </w:footnote>
  <w:footnote w:type="continuationSeparator" w:id="0">
    <w:p w14:paraId="109865A3" w14:textId="77777777" w:rsidR="006B726C" w:rsidRDefault="006B726C">
      <w:pPr>
        <w:spacing w:after="0" w:line="249" w:lineRule="auto"/>
        <w:ind w:left="0" w:right="146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90C924" w14:textId="11442BC9" w:rsidR="0019604A" w:rsidRDefault="00000000">
    <w:pPr>
      <w:spacing w:after="0" w:line="259" w:lineRule="auto"/>
      <w:ind w:left="0" w:right="0" w:firstLine="0"/>
    </w:pPr>
    <w:r>
      <w:rPr>
        <w:rFonts w:cs="Garamond"/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F9AC0F" w14:textId="7F50875F" w:rsidR="0019604A" w:rsidRDefault="00000000">
    <w:pPr>
      <w:spacing w:after="0" w:line="259" w:lineRule="auto"/>
      <w:ind w:left="0" w:right="0" w:firstLine="0"/>
    </w:pPr>
    <w:r>
      <w:rPr>
        <w:rFonts w:cs="Garamond"/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FC065A" w14:textId="2131DEFC" w:rsidR="0019604A" w:rsidRDefault="00000000">
    <w:pPr>
      <w:spacing w:after="0" w:line="259" w:lineRule="auto"/>
      <w:ind w:left="0" w:right="0" w:firstLine="0"/>
    </w:pPr>
    <w:r>
      <w:rPr>
        <w:rFonts w:cs="Garamond"/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6A25B0"/>
    <w:multiLevelType w:val="hybridMultilevel"/>
    <w:tmpl w:val="37984D78"/>
    <w:lvl w:ilvl="0" w:tplc="8048D1EC">
      <w:start w:val="1"/>
      <w:numFmt w:val="bullet"/>
      <w:lvlText w:val="*"/>
      <w:lvlJc w:val="left"/>
      <w:pPr>
        <w:ind w:left="40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E832F0">
      <w:start w:val="1"/>
      <w:numFmt w:val="bullet"/>
      <w:lvlText w:val="o"/>
      <w:lvlJc w:val="left"/>
      <w:pPr>
        <w:ind w:left="13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70FF46">
      <w:start w:val="1"/>
      <w:numFmt w:val="bullet"/>
      <w:lvlText w:val="▪"/>
      <w:lvlJc w:val="left"/>
      <w:pPr>
        <w:ind w:left="21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1815C4">
      <w:start w:val="1"/>
      <w:numFmt w:val="bullet"/>
      <w:lvlText w:val="•"/>
      <w:lvlJc w:val="left"/>
      <w:pPr>
        <w:ind w:left="28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066A12">
      <w:start w:val="1"/>
      <w:numFmt w:val="bullet"/>
      <w:lvlText w:val="o"/>
      <w:lvlJc w:val="left"/>
      <w:pPr>
        <w:ind w:left="354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EC1D40">
      <w:start w:val="1"/>
      <w:numFmt w:val="bullet"/>
      <w:lvlText w:val="▪"/>
      <w:lvlJc w:val="left"/>
      <w:pPr>
        <w:ind w:left="426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0AAB4B6">
      <w:start w:val="1"/>
      <w:numFmt w:val="bullet"/>
      <w:lvlText w:val="•"/>
      <w:lvlJc w:val="left"/>
      <w:pPr>
        <w:ind w:left="498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DBAF0AE">
      <w:start w:val="1"/>
      <w:numFmt w:val="bullet"/>
      <w:lvlText w:val="o"/>
      <w:lvlJc w:val="left"/>
      <w:pPr>
        <w:ind w:left="570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8CA37C">
      <w:start w:val="1"/>
      <w:numFmt w:val="bullet"/>
      <w:lvlText w:val="▪"/>
      <w:lvlJc w:val="left"/>
      <w:pPr>
        <w:ind w:left="642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973073"/>
    <w:multiLevelType w:val="hybridMultilevel"/>
    <w:tmpl w:val="CF022ACC"/>
    <w:lvl w:ilvl="0" w:tplc="32EE1B70">
      <w:start w:val="1"/>
      <w:numFmt w:val="decimal"/>
      <w:lvlText w:val="(%1)"/>
      <w:lvlJc w:val="left"/>
      <w:pPr>
        <w:ind w:left="10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7A11EE">
      <w:start w:val="1"/>
      <w:numFmt w:val="lowerLetter"/>
      <w:lvlText w:val="%2"/>
      <w:lvlJc w:val="left"/>
      <w:pPr>
        <w:ind w:left="18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A8C464">
      <w:start w:val="1"/>
      <w:numFmt w:val="lowerRoman"/>
      <w:lvlText w:val="%3"/>
      <w:lvlJc w:val="left"/>
      <w:pPr>
        <w:ind w:left="25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501046">
      <w:start w:val="1"/>
      <w:numFmt w:val="decimal"/>
      <w:lvlText w:val="%4"/>
      <w:lvlJc w:val="left"/>
      <w:pPr>
        <w:ind w:left="32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96AA1C">
      <w:start w:val="1"/>
      <w:numFmt w:val="lowerLetter"/>
      <w:lvlText w:val="%5"/>
      <w:lvlJc w:val="left"/>
      <w:pPr>
        <w:ind w:left="39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A61AF0">
      <w:start w:val="1"/>
      <w:numFmt w:val="lowerRoman"/>
      <w:lvlText w:val="%6"/>
      <w:lvlJc w:val="left"/>
      <w:pPr>
        <w:ind w:left="46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8061D8">
      <w:start w:val="1"/>
      <w:numFmt w:val="decimal"/>
      <w:lvlText w:val="%7"/>
      <w:lvlJc w:val="left"/>
      <w:pPr>
        <w:ind w:left="54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4A722C">
      <w:start w:val="1"/>
      <w:numFmt w:val="lowerLetter"/>
      <w:lvlText w:val="%8"/>
      <w:lvlJc w:val="left"/>
      <w:pPr>
        <w:ind w:left="61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B0471C">
      <w:start w:val="1"/>
      <w:numFmt w:val="lowerRoman"/>
      <w:lvlText w:val="%9"/>
      <w:lvlJc w:val="left"/>
      <w:pPr>
        <w:ind w:left="68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717282"/>
    <w:multiLevelType w:val="hybridMultilevel"/>
    <w:tmpl w:val="52306134"/>
    <w:lvl w:ilvl="0" w:tplc="63A04B32">
      <w:start w:val="1"/>
      <w:numFmt w:val="bullet"/>
      <w:lvlText w:val="*"/>
      <w:lvlJc w:val="left"/>
      <w:pPr>
        <w:ind w:left="105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AFE02F8">
      <w:start w:val="1"/>
      <w:numFmt w:val="bullet"/>
      <w:lvlText w:val="o"/>
      <w:lvlJc w:val="left"/>
      <w:pPr>
        <w:ind w:left="119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C2E3D6">
      <w:start w:val="1"/>
      <w:numFmt w:val="bullet"/>
      <w:lvlText w:val="▪"/>
      <w:lvlJc w:val="left"/>
      <w:pPr>
        <w:ind w:left="191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472D822">
      <w:start w:val="1"/>
      <w:numFmt w:val="bullet"/>
      <w:lvlText w:val="•"/>
      <w:lvlJc w:val="left"/>
      <w:pPr>
        <w:ind w:left="263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5AC21E">
      <w:start w:val="1"/>
      <w:numFmt w:val="bullet"/>
      <w:lvlText w:val="o"/>
      <w:lvlJc w:val="left"/>
      <w:pPr>
        <w:ind w:left="335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DCB05A">
      <w:start w:val="1"/>
      <w:numFmt w:val="bullet"/>
      <w:lvlText w:val="▪"/>
      <w:lvlJc w:val="left"/>
      <w:pPr>
        <w:ind w:left="407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C288F6">
      <w:start w:val="1"/>
      <w:numFmt w:val="bullet"/>
      <w:lvlText w:val="•"/>
      <w:lvlJc w:val="left"/>
      <w:pPr>
        <w:ind w:left="479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7B4EB4C">
      <w:start w:val="1"/>
      <w:numFmt w:val="bullet"/>
      <w:lvlText w:val="o"/>
      <w:lvlJc w:val="left"/>
      <w:pPr>
        <w:ind w:left="551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FA8756">
      <w:start w:val="1"/>
      <w:numFmt w:val="bullet"/>
      <w:lvlText w:val="▪"/>
      <w:lvlJc w:val="left"/>
      <w:pPr>
        <w:ind w:left="623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EB610A"/>
    <w:multiLevelType w:val="hybridMultilevel"/>
    <w:tmpl w:val="1A0A4B10"/>
    <w:lvl w:ilvl="0" w:tplc="2D9E5D38">
      <w:start w:val="1"/>
      <w:numFmt w:val="bullet"/>
      <w:lvlText w:val="*"/>
      <w:lvlJc w:val="left"/>
      <w:pPr>
        <w:ind w:left="40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98E11A">
      <w:start w:val="1"/>
      <w:numFmt w:val="bullet"/>
      <w:lvlText w:val="o"/>
      <w:lvlJc w:val="left"/>
      <w:pPr>
        <w:ind w:left="147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6AF70C">
      <w:start w:val="1"/>
      <w:numFmt w:val="bullet"/>
      <w:lvlText w:val="▪"/>
      <w:lvlJc w:val="left"/>
      <w:pPr>
        <w:ind w:left="219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5A1D0A">
      <w:start w:val="1"/>
      <w:numFmt w:val="bullet"/>
      <w:lvlText w:val="•"/>
      <w:lvlJc w:val="left"/>
      <w:pPr>
        <w:ind w:left="291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FE8720">
      <w:start w:val="1"/>
      <w:numFmt w:val="bullet"/>
      <w:lvlText w:val="o"/>
      <w:lvlJc w:val="left"/>
      <w:pPr>
        <w:ind w:left="363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4E2C78">
      <w:start w:val="1"/>
      <w:numFmt w:val="bullet"/>
      <w:lvlText w:val="▪"/>
      <w:lvlJc w:val="left"/>
      <w:pPr>
        <w:ind w:left="435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D47D0C">
      <w:start w:val="1"/>
      <w:numFmt w:val="bullet"/>
      <w:lvlText w:val="•"/>
      <w:lvlJc w:val="left"/>
      <w:pPr>
        <w:ind w:left="507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C91BA">
      <w:start w:val="1"/>
      <w:numFmt w:val="bullet"/>
      <w:lvlText w:val="o"/>
      <w:lvlJc w:val="left"/>
      <w:pPr>
        <w:ind w:left="579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32D946">
      <w:start w:val="1"/>
      <w:numFmt w:val="bullet"/>
      <w:lvlText w:val="▪"/>
      <w:lvlJc w:val="left"/>
      <w:pPr>
        <w:ind w:left="6516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5738838">
    <w:abstractNumId w:val="1"/>
  </w:num>
  <w:num w:numId="2" w16cid:durableId="779832993">
    <w:abstractNumId w:val="2"/>
  </w:num>
  <w:num w:numId="3" w16cid:durableId="1169904981">
    <w:abstractNumId w:val="3"/>
  </w:num>
  <w:num w:numId="4" w16cid:durableId="20681416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4A"/>
    <w:rsid w:val="0003046C"/>
    <w:rsid w:val="000E6B0B"/>
    <w:rsid w:val="0019604A"/>
    <w:rsid w:val="003767C1"/>
    <w:rsid w:val="006B726C"/>
    <w:rsid w:val="007A6B02"/>
    <w:rsid w:val="00AD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EDE25A"/>
  <w15:docId w15:val="{9629042C-AE43-0E45-8688-CD03BDFE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8" w:lineRule="auto"/>
      <w:ind w:left="10" w:right="497" w:hanging="10"/>
    </w:pPr>
    <w:rPr>
      <w:rFonts w:ascii="Garamond" w:eastAsia="Garamond" w:hAnsi="Garamond" w:cs="Times New Roman"/>
      <w:color w:val="000000"/>
      <w:sz w:val="26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" w:line="259" w:lineRule="auto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right="72" w:hanging="10"/>
      <w:outlineLvl w:val="1"/>
    </w:pPr>
    <w:rPr>
      <w:rFonts w:ascii="Garamond" w:eastAsia="Garamond" w:hAnsi="Garamond" w:cs="Garamond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Garamond" w:eastAsia="Garamond" w:hAnsi="Garamond" w:cs="Garamond"/>
      <w:b/>
      <w:color w:val="000000"/>
      <w:sz w:val="32"/>
    </w:rPr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3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9" w:lineRule="auto"/>
      <w:ind w:right="146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Chew, Alexa</dc:creator>
  <cp:keywords/>
  <cp:lastModifiedBy>Daukaus, Lauren</cp:lastModifiedBy>
  <cp:revision>2</cp:revision>
  <dcterms:created xsi:type="dcterms:W3CDTF">2026-07-22T03:43:00Z</dcterms:created>
  <dcterms:modified xsi:type="dcterms:W3CDTF">2026-07-22T03:43:00Z</dcterms:modified>
</cp:coreProperties>
</file>